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BUKDiszAnO</w:t>
      </w:r>
    </w:p>
    <w:p>
      <w:r>
        <w:rPr>
          <w:color w:val="555555"/>
          <w:sz w:val="18"/>
        </w:rPr>
        <w:t xml:space="preserve">Anordnung über die Übertragung von Befugnissen auf dem Gebiet des Disziplinarrechts im Bereich der Unfallkasse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9 Nr. 16 des Gesetzes zur Einführung einer kapitalgedeckten Hüttenknappschaftlichen Zusatzversicherung und zur Änderung anderer Gesetze vom 21. Juni 2002 (BGBl. I S. 2167), des § 15 Abs. 1 der Satzung der Unfallkasse des Bundes vom 22. Januar 2003, des § 83 Abs. 1 Satz 1 und 2, des § 33 Abs. 5, des § 34 Abs. 2 Satz 2, des § 42 Abs. 1 Satz 2 und des § 84 Satz 2 des Bundesdisziplinargesetzes vom 9. Juli 2001 (BGBl. I S. 1510) in Verbindung mit § 1 Abs. 2 der Verordnung zur Durchführung des Bundesdisziplinargesetzes bei den bundesunmittelbaren Körperschaften mit Dienstherrnfähigkeit im Geschäftsbereich des Bundesministeriums für Gesundheit und Soziale Sicherung vom 24. Februar 2003 (BGBl. I S. 300) wird folgende Anordnung erlassen:</w:t>
      </w:r>
    </w:p>
    <w:p>
      <w:r>
        <w:rPr>
          <w:color w:val="555555"/>
          <w:sz w:val="17"/>
        </w:rPr>
        <w:t xml:space="preserve">Zitiervorschlag: Eingangsformel BUKDiszAnO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https://recht.nulegal.eu/gesetze/BUKDiszAnO/eingangsformel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