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BTTG — Aufhebung der festgesetzten Arbeitsbedingungen</w:t>
      </w:r>
    </w:p>
    <w:p>
      <w:r>
        <w:rPr>
          <w:color w:val="555555"/>
          <w:sz w:val="18"/>
        </w:rPr>
        <w:t xml:space="preserve">Bundestariftreuegesetz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Das Bundesministerium für Arbeit und Soziales hebt eine nach § 5 erlassene Rechtsverordnung auf, soweit</w:t>
      </w:r>
    </w:p>
    <w:p>
      <w:pPr>
        <w:ind w:left="420"/>
      </w:pPr>
      <w:r>
        <w:t xml:space="preserve">1. ein Antrag auf Festsetzung von Arbeitsbedingungen eines Tarifvertrags vorliegt, dessen Geltungsbereich sich mit dem Geltungsbereich eines Tarifvertrags überschneidet, dessen Arbeitsbedingungen in einer Rechtsverordnung nach § 5 festgesetzt sind, und</w:t>
      </w:r>
    </w:p>
    <w:p>
      <w:pPr>
        <w:ind w:left="420"/>
      </w:pPr>
      <w:r>
        <w:t xml:space="preserve">2. der Tarifvertrag, der Gegenstand des Antrags ist, nach § 5 Absatz 5 Satz 2 in Verbindung mit § 5 Absatz 4 als der repräsentativere Tarifvertrag festgestellt wird.</w:t>
      </w:r>
    </w:p>
    <w:p>
      <w:r>
        <w:t xml:space="preserve">(2) Das Bundesministerium für Arbeit und Soziales hebt eine nach § 5 erlassene Rechtsverordnung auf, soweit die in der Rechtsverordnung festgesetzten Arbeitsbedingungen nicht mehr Gegenstand des Tarifvertrags oder eines nachfolgenden Tarifvertrags sind.</w:t>
      </w:r>
    </w:p>
    <w:p>
      <w:r>
        <w:t xml:space="preserve">(3) Das Bundesministerium für Arbeit und Soziales hebt eine Rechtsverordnung auf, soweit die Aufhebung im öffentlichen Interesse geboten erscheint.</w:t>
      </w:r>
    </w:p>
    <w:p>
      <w:r>
        <w:rPr>
          <w:color w:val="555555"/>
          <w:sz w:val="17"/>
        </w:rPr>
        <w:t xml:space="preserve">Zitiervorschlag: § 7 BTTG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