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BTTG — Rechtsverordnung zur Festsetzung der verbindlichen Arbeitsbedingungen; Verordnungsermächtigung</w:t>
      </w:r>
    </w:p>
    <w:p>
      <w:r>
        <w:rPr>
          <w:color w:val="555555"/>
          <w:sz w:val="18"/>
        </w:rPr>
        <w:t xml:space="preserve">Bundestariftreuegesetz</w:t>
      </w:r>
    </w:p>
    <w:p>
      <w:r>
        <w:rPr>
          <w:color w:val="555555"/>
          <w:sz w:val="18"/>
        </w:rPr>
        <w:t xml:space="preserve">Stand: 01.05.2026 (konsolidierte Textfassung, kein amtliches Inkrafttretensdatum)</w:t>
      </w:r>
    </w:p>
    <w:p>
      <w:r>
        <w:t xml:space="preserve">(1) Das Bundesministerium für Arbeit und Soziales wird ermächtigt, durch Rechtsverordnung ohne Zustimmung des Bundesrates auf Antrag einer Gewerkschaft oder einer Vereinigung von Arbeitgebern die für die Ausführung öffentlicher Aufträge und Konzessionen geltenden Arbeitsbedingungen eines von der Antragstellerin mit einer Gewerkschaft beziehungsweise einer Vereinigung von Arbeitgebern abgeschlossenen Tarifvertrags festzusetzen, es sei denn, ein öffentliches Interesse am Erlass der Rechtsverordnung ist ausnahmsweise nicht gegeben. Arbeitsbedingungen nach Satz 1 sind</w:t>
      </w:r>
    </w:p>
    <w:p>
      <w:pPr>
        <w:ind w:left="420"/>
      </w:pPr>
      <w:r>
        <w:t xml:space="preserve">1. die Entlohnung im Sinne des § 2 Absatz 1 Nummer 1 in Verbindung mit § 2a des Arbeitnehmer-Entsendegesetzes,</w:t>
      </w:r>
    </w:p>
    <w:p>
      <w:pPr>
        <w:ind w:left="420"/>
      </w:pPr>
      <w:r>
        <w:t xml:space="preserve">2. der bezahlte Mindestjahresurlaub im Sinne des § 2 Absatz 1 Nummer 2 des Arbeitnehmer-Entsendegesetzes sowie</w:t>
      </w:r>
    </w:p>
    <w:p>
      <w:pPr>
        <w:ind w:left="420"/>
      </w:pPr>
      <w:r>
        <w:t xml:space="preserve">3. die Höchstarbeitszeiten, Mindestruhezeiten und Ruhepausenzeiten im Sinne des § 2 Absatz 1 Nummer 3 des Arbeitnehmer-Entsendegesetzes.</w:t>
      </w:r>
    </w:p>
    <w:p>
      <w:r>
        <w:t xml:space="preserve">Soweit eine tarifliche Arbeitsbedingung gemäß Satz 2 in eine Rechtsverordnung übernommen wird, bleibt die Arbeitsbedingung unverändert. Die Arbeitsbedingungen nach Satz 2 Nummer 2 und 3 dürfen nicht für Aufträge oder Konzessionen festgesetzt werden, für die eine Auftragsdauer von nicht mehr als zwei Monaten vereinbart oder geschätzt worden ist. Satz 4 gilt bei Einsatz von Nachunternehmern oder Verleihern entsprechend für die vereinbarte oder geschätzte Dauer des Unterauftrags und bei losweiser Vergabe entsprechend für die vereinbarte oder geschätzte Dauer des Loses. Das Bundesministerium für Arbeit und Soziales hat bei seiner Entscheidung im Rahmen einer Gesamtabwägung die Stellungnahmen nach Absatz 4 und die Empfehlungen nach § 6 Absatz 2 zu berücksichtigen. Das Bundesministerium für Arbeit und Soziales bestimmt unter Beachtung des Grundsatzes der Gleichbehandlung in der Rechtsverordnung, die Arbeitsbedingungen welcher Tarifverträge für Auftragnehmer, Nachunternehmer und Verleiher mit Sitz im Ausland räumlich einschlägig sind.</w:t>
      </w:r>
    </w:p>
    <w:p>
      <w:r>
        <w:t xml:space="preserve">(1a) Wird in einer Branche erstmals ein Antrag nach Absatz 1 Satz 1 gestellt, erlässt das Bundesministerium für Arbeit und Soziales die Rechtsverordnung im Benehmen mit dem Bundesministerium für Wirtschaft und Energie.</w:t>
      </w:r>
    </w:p>
    <w:p>
      <w:r>
        <w:t xml:space="preserve">(2) Sind in einer Branche Arbeitsbedingungen nach Absatz 1 Satz 2 in mehreren Tarifverträgen mit unterschiedlichen räumlichen Geltungsbereichen geregelt, sollen die in den Tarifverträgen geregelten Arbeitsbedingungen in einer Rechtsverordnung zusammengefasst werden. Die von einer Rechtsverordnung erfassten Arbeitsbedingungen veröffentlicht das Bundesministerium für Arbeit und Soziales im Internet.</w:t>
      </w:r>
    </w:p>
    <w:p>
      <w:r>
        <w:t xml:space="preserve">(3) Liegen Anträgen nach Absatz 1 nicht inhaltsgleiche Tarifverträge verschiedener Tarifvertragsparteien mit sich überschneidenden räumlichen, fachlichen und persönlichen Geltungsbereichen zugrunde, setzt das Bundesministerium für Arbeit und Soziales die Arbeitsbedingungen des repräsentativeren Tarifvertrags in einer Rechtsverordnung nach Berücksichtigung der Stellungnahmen nach Absatz 4 und der Empfehlungen nach § 6 Absatz 2 fest. § 7 Absatz 2 Satz 2 und Absatz 3 des Arbeitnehmer-Entsendegesetzes ist entsprechend anzuwenden.</w:t>
      </w:r>
    </w:p>
    <w:p>
      <w:r>
        <w:t xml:space="preserve">(4) Vor Erlass der Rechtsverordnung gibt das Bundesministerium für Arbeit und Soziales den in den Geltungsbereich fallenden Arbeitgebern sowie Arbeitnehmerinnen und Arbeitnehmern, den Parteien der Tarifverträge mit sich überschneidenden räumlichen, fachlichen und persönlichen Geltungsbereichen sowie den Spitzenorganisationen im Sinne des § 12 des Tarifvertragsgesetzes und den paritätisch besetzten Kommissionen, die auf der Grundlage kirchlichen Rechts Arbeitsbedingungen für den Bereich kirchlicher Arbeitgeber festlegen, Gelegenheit zur schriftlichen Stellungnahme innerhalb von drei Wochen ab dem Tag der Bekanntmachung des Entwurfs der Rechtsverordnung. Die zur Stellungnahme Berechtigten können die Empfehlung der Clearingstelle nach § 6 Absatz 2 verlangen.</w:t>
      </w:r>
    </w:p>
    <w:p>
      <w:r>
        <w:t xml:space="preserve">(5) Hat das Bundesministerium für Arbeit und Soziales eine Rechtsverordnung nach Absatz 1 erlassen, kann ein Antrag nach Absatz 1 für einen Tarifvertrag einer anderen Tarifvertragspartei, dessen Geltungsbereich sich mit dem räumlichen, fachlichen und persönlichen Geltungsbereich der Rechtsverordnung überschneidet, erst nach Ablauf von sechs Monaten ab Verkündung der Rechtsverordnung gestellt werden. Absatz 4 ist bei einem Antrag nach Satz 1 entsprechend anzuwenden.</w:t>
      </w:r>
    </w:p>
    <w:p>
      <w:r>
        <w:t xml:space="preserve">(6) Werden die in einer Rechtsverordnung nach Absatz 1 festgesetzten Arbeitsbedingungen durch einen nachfolgenden Tarifvertrag derselben Tarifvertragsparteien geändert, macht das Bundesministerium für Arbeit und Soziales die geänderten Arbeitsbedingungen im Bundesanzeiger bekannt.</w:t>
      </w:r>
    </w:p>
    <w:p>
      <w:r>
        <w:t xml:space="preserve">(7) Eine nach dieser Vorschrift erlassene Rechtsverordnung gilt, sofern nichts anderes geregelt ist, bis zum Zeitpunkt ihrer Aufhebung durch das Bundesministerium für Arbeit und Soziales nach § 7 fort.</w:t>
      </w:r>
    </w:p>
    <w:p>
      <w:r>
        <w:rPr>
          <w:color w:val="555555"/>
          <w:sz w:val="17"/>
        </w:rPr>
        <w:t xml:space="preserve">Zitiervorschlag: § 5 BTTG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https://recht.nulegal.eu/gesetze/BTTG/5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