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BTTG — Übergangsregelung</w:t>
      </w:r>
    </w:p>
    <w:p>
      <w:r>
        <w:rPr>
          <w:color w:val="555555"/>
          <w:sz w:val="18"/>
        </w:rPr>
        <w:t xml:space="preserve">Bundestariftreuegesetz</w:t>
      </w:r>
    </w:p>
    <w:p>
      <w:r>
        <w:rPr>
          <w:color w:val="555555"/>
          <w:sz w:val="18"/>
        </w:rPr>
        <w:t xml:space="preserve">Stand: 01.05.2026 (konsolidierte Textfassung, kein amtliches Inkrafttretensdatum)</w:t>
      </w:r>
    </w:p>
    <w:p>
      <w:r>
        <w:t xml:space="preserve">Dieses Gesetz berührt keine Vergabeverfahren, die bis zum 1. Mai 2026 eingeleitet worden sind.</w:t>
      </w:r>
    </w:p>
    <w:p>
      <w:r>
        <w:rPr>
          <w:color w:val="555555"/>
          <w:sz w:val="17"/>
        </w:rPr>
        <w:t xml:space="preserve">Zitiervorschlag: § 16 BTTG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