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BTTG — Nachunternehmerhaftung</w:t>
      </w:r>
    </w:p>
    <w:p>
      <w:r>
        <w:rPr>
          <w:color w:val="555555"/>
          <w:sz w:val="18"/>
        </w:rPr>
        <w:t xml:space="preserve">Bundestariftreuegesetz</w:t>
      </w:r>
    </w:p>
    <w:p>
      <w:r>
        <w:rPr>
          <w:color w:val="555555"/>
          <w:sz w:val="18"/>
        </w:rPr>
        <w:t xml:space="preserve">Stand: 01.05.2026 (konsolidierte Textfassung, kein amtliches Inkrafttretensdatum)</w:t>
      </w:r>
    </w:p>
    <w:p>
      <w:r>
        <w:t xml:space="preserve">Ein Auftragnehmer, der zur Ausführung des Bau- oder Dienstleistungsauftrags oder der Konzession einen anderen Unternehmer mit der Erbringung von Leistungen beauftragt, haftet für die Erfüllung der Zahlungspflicht nach § 4 Absatz 1 in Verbindung mit § 5 Absatz 1 Satz 2 Nummer 1 dieses Unternehmers, weiterer Nachunternehmer oder eines von dem Unternehmer oder einem Nachunternehmer beauftragten Verleihers wie ein selbstschuldnerischer Bürge. Die Entlohnung nach § 5 Absatz 1 Satz 2 Nummer 1 umfasst für die Haftung des Auftragnehmers im Sinne des Satzes 1 nur den Betrag, der nach Abzug der Steuern und der Beiträge zur Sozialversicherung und zur Arbeitsförderung oder entsprechender Aufwendungen zur sozialen Sicherung an Arbeitnehmerinnen oder Arbeitnehmer auszuzahlen ist (Nettoentgelt). Die Haftung nach Satz 1 entfällt, soweit und solange der Auftragnehmer die Einhaltung der einschlägigen Rechtsverordnung nach § 5 durch den Nachunternehmer oder den von diesem beauftragten Verleiher mittels einer Zertifizierung nach § 10 Absatz 1 nachweist und wenn nicht über das Vermögen des Nachunternehmers oder eines von diesem beauftragten Verleihers das Insolvenzverfahren eröffnet ist.</w:t>
      </w:r>
    </w:p>
    <w:p>
      <w:r>
        <w:rPr>
          <w:color w:val="555555"/>
          <w:sz w:val="17"/>
        </w:rPr>
        <w:t xml:space="preserve">Zitiervorschlag: § 12 BTTG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