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BTTG — Zivilrechtliche Sanktionen</w:t>
      </w:r>
    </w:p>
    <w:p>
      <w:r>
        <w:rPr>
          <w:color w:val="555555"/>
          <w:sz w:val="18"/>
        </w:rPr>
        <w:t xml:space="preserve">Bundestariftreuegesetz</w:t>
      </w:r>
    </w:p>
    <w:p>
      <w:r>
        <w:rPr>
          <w:color w:val="555555"/>
          <w:sz w:val="18"/>
        </w:rPr>
        <w:t xml:space="preserve">Stand: 01.05.2026 (konsolidierte Textfassung, kein amtliches Inkrafttretensdatum)</w:t>
      </w:r>
    </w:p>
    <w:p>
      <w:r>
        <w:t xml:space="preserve">(1) Der Bundesauftraggeber soll mit dem Auftragnehmer eine angemessene Vertragsstrafe in Höhe von maximal 1 Prozent, bei mehreren Verstößen maximal 10 Prozent des Auftragswertes, vereinbaren; diese ist verwirkt, wenn die Prüfstelle Bundestariftreue einen Verstoß nach § 13 festgestellt hat. Der Bundesauftraggeber muss die verwirkte Vertragsstrafe nach Satz 1 nicht vor Ende der Auftragsausführung geltend machen.</w:t>
      </w:r>
    </w:p>
    <w:p>
      <w:r>
        <w:t xml:space="preserve">(2) Der Bundesauftraggeber soll mit dem Auftragnehmer für Fälle des Absatzes 1 ein Recht zur außerordentlichen fristlosen Kündigung des Auftragsverhältnisses vereinbaren.</w:t>
      </w:r>
    </w:p>
    <w:p>
      <w:r>
        <w:rPr>
          <w:color w:val="555555"/>
          <w:sz w:val="17"/>
        </w:rPr>
        <w:t xml:space="preserve">Zitiervorschlag: § 11 BTTG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