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BTHausO 2002 — Bibliothek, Archiv, Sondereinrichtungen</w:t>
      </w:r>
    </w:p>
    <w:p>
      <w:r>
        <w:rPr>
          <w:color w:val="555555"/>
          <w:sz w:val="18"/>
        </w:rPr>
        <w:t xml:space="preserve">Hausordnung des Deutschen Bundestages</w:t>
      </w:r>
    </w:p>
    <w:p>
      <w:r>
        <w:rPr>
          <w:color w:val="555555"/>
          <w:sz w:val="18"/>
        </w:rPr>
        <w:t xml:space="preserve">Historische Fassung: Stand 10.06.2019 bis 24.08.2020. Dies ist nicht die aktuelle Fassung.</w:t>
      </w:r>
    </w:p>
    <w:p>
      <w:r>
        <w:t xml:space="preserve">Für die Benutzung der Bibliothek, der Archive und anderer Sondereinrichtungen sind die entsprechenden Benutzungsordnungen maßgebend.</w:t>
      </w:r>
    </w:p>
    <w:p>
      <w:r>
        <w:rPr>
          <w:color w:val="555555"/>
          <w:sz w:val="17"/>
        </w:rPr>
        <w:t xml:space="preserve">Zitiervorschlag: § 9 BTHausO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https://recht.nulegal.eu/gesetze/BTHausO%202002/9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BTHausO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