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BTHausO 2002 — Plenarsaal</w:t>
      </w:r>
    </w:p>
    <w:p>
      <w:r>
        <w:rPr>
          <w:color w:val="555555"/>
          <w:sz w:val="18"/>
        </w:rPr>
        <w:t xml:space="preserve">Hausordnung des Deutschen Bundestages</w:t>
      </w:r>
    </w:p>
    <w:p>
      <w:r>
        <w:rPr>
          <w:color w:val="555555"/>
          <w:sz w:val="18"/>
        </w:rPr>
        <w:t xml:space="preserve">Historische Fassung: Stand 10.06.2019 bis 24.08.2020. Dies ist nicht die aktuelle Fassung.</w:t>
      </w:r>
    </w:p>
    <w:p>
      <w:r>
        <w:t xml:space="preserve">(1) Zutritt zum Plenarsaal des Deutschen Bundestages haben während der Sitzungen</w:t>
      </w:r>
    </w:p>
    <w:p>
      <w:pPr>
        <w:ind w:left="780"/>
      </w:pPr>
      <w:r>
        <w:t xml:space="preserve">a) die Mitglieder des Bundestages,</w:t>
      </w:r>
    </w:p>
    <w:p>
      <w:pPr>
        <w:ind w:left="780"/>
      </w:pPr>
      <w:r>
        <w:t xml:space="preserve">b) die Mitglieder der Bundesregierung, des Bundesrates sowie deren Beauftragte,</w:t>
      </w:r>
    </w:p>
    <w:p>
      <w:pPr>
        <w:ind w:left="780"/>
      </w:pPr>
      <w:r>
        <w:t xml:space="preserve">c) der oder die Wehrbeauftragte des Deutschen Bundestages,</w:t>
      </w:r>
    </w:p>
    <w:p>
      <w:pPr>
        <w:ind w:left="420"/>
      </w:pPr>
      <w:r>
        <w:t xml:space="preserve">2. die zum Dienst im Plenarsaal eingeteilten Bediensteten der Verwaltung des Deutschen Bundestages,</w:t>
      </w:r>
    </w:p>
    <w:p>
      <w:pPr>
        <w:ind w:left="420"/>
      </w:pPr>
      <w:r>
        <w:t xml:space="preserve">3. auf Grund einer Einlasskarte zur Regierungs- oder Bundesratsbank Mitarbeiterinnen und Mitarbeiter der Regierungs- und Bundesratsmitglieder.</w:t>
      </w:r>
    </w:p>
    <w:p>
      <w:r>
        <w:t xml:space="preserve">(2) Soweit auf den Tribünen Bereiche für bestimmte Personen oder Gruppen vorgesehen sind (Presse, Diplomaten, ausländische Delegationen und Gäste des Deutschen Bundestages), stehen sie in erster Linie diesen Personen bzw. den Angehörigen dieser Gruppen zur Verfügung. Darüber hinaus erhalten bevorzugt Zutritt</w:t>
      </w:r>
    </w:p>
    <w:p>
      <w:pPr>
        <w:ind w:left="420"/>
      </w:pPr>
      <w:r>
        <w:t xml:space="preserve">a) Mitglieder und ehemalige Mitglieder des Deutschen Bundestages, des Europäischen Parlaments und der Länderparlamente,</w:t>
      </w:r>
    </w:p>
    <w:p>
      <w:pPr>
        <w:ind w:left="420"/>
      </w:pPr>
      <w:r>
        <w:t xml:space="preserve">b) Inhaber einer Einlasskarte, die von den Fraktionen oder dem Besucherdienst der Verwaltung des Deutschen Bundestages ausgegeben werden,</w:t>
      </w:r>
    </w:p>
    <w:p>
      <w:pPr>
        <w:ind w:left="420"/>
      </w:pPr>
      <w:r>
        <w:t xml:space="preserve">c) Besuchergruppen und Einzelbesucher, die vom Besucherdienst eingeladen oder zugelassen worden sind.</w:t>
      </w:r>
    </w:p>
    <w:p>
      <w:r>
        <w:t xml:space="preserve">(3) In sitzungsfreier Zeit kann der Plenarsaal unter sachkundiger Führung von den Besuchertribünen aus besichtigt werden. Kindern unter zehn Jahren ist die Teilnahme nur in Begleitung Erwachsener gestattet.</w:t>
      </w:r>
    </w:p>
    <w:p>
      <w:r>
        <w:t xml:space="preserve">(4) Für den Zutritt zur Ostlobby während der Sitzungen gilt Absatz 1 entsprechend. Zutritt haben auch die Mitarbeiterinnen und Mitarbeiter der Mitglieder und Fraktionen des Deutschen Bundestages sowie die zum Dienst in der Ostlobby eingeteilten Bediensteten des Deutschen Bundestages.</w:t>
      </w:r>
    </w:p>
    <w:p>
      <w:r>
        <w:rPr>
          <w:color w:val="555555"/>
          <w:sz w:val="17"/>
        </w:rPr>
        <w:t xml:space="preserve">Zitiervorschlag: § 3 BTHausO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