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12. BTGO1980Anl1ABest</w:t>
      </w:r>
    </w:p>
    <w:p>
      <w:r>
        <w:rPr>
          <w:color w:val="555555"/>
          <w:sz w:val="18"/>
        </w:rPr>
        <w:t xml:space="preserve">Ausführungsbestimmungen zu den Verhaltensregeln für Mitglieder des Deutschen Bundestages</w:t>
      </w:r>
    </w:p>
    <w:p>
      <w:r>
        <w:rPr>
          <w:color w:val="555555"/>
          <w:sz w:val="18"/>
        </w:rPr>
        <w:t xml:space="preserve">Stand: 10.06.2019 (konsolidierte Textfassung, kein amtliches Inkrafttretensdatum)</w:t>
      </w:r>
    </w:p>
    <w:p>
      <w:r>
        <w:t xml:space="preserve">Mehrere Spenden desselben Spenders sind anzeigepflichtig, wenn sie im Jahr den Betrag von 5.000 Euro übersteigen. Einer Anzeige bei Gastgeschenken bedarf es nicht, wenn der materielle Wert des Gastgeschenkes 200 Euro nicht übersteigt.</w:t>
      </w:r>
    </w:p>
    <w:p>
      <w:r>
        <w:rPr>
          <w:color w:val="555555"/>
          <w:sz w:val="17"/>
        </w:rPr>
        <w:t xml:space="preserve">Zitiervorschlag: 12. BTGO1980Anl1ABest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https://recht.nulegal.eu/gesetze/BTGO1980Anl1ABest/12.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12. BTGO1980Anl1ABest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