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6. BTGO1980Anl 6 — Festnahme eines Mitgliedes des Bundestages bei Begehung der Tat</w:t>
      </w:r>
    </w:p>
    <w:p>
      <w:r>
        <w:rPr>
          <w:color w:val="555555"/>
          <w:sz w:val="18"/>
        </w:rPr>
        <w:t xml:space="preserve">Grundsätze in Immunitätsangelegenheiten und in Fällen der Genehmigung gemäß § 50 Abs 3 StPO und § 382 Abs. 3 ZPO sowie bei Ermächtigungen gemäß § 90b Abs. 2, § 194 Abs. 4 StGB (Anlage 6 der Geschäftsordnung des Deutschen Bundestages, BGBl I 1980, 1237)</w:t>
      </w:r>
    </w:p>
    <w:p>
      <w:r>
        <w:rPr>
          <w:color w:val="555555"/>
          <w:sz w:val="18"/>
        </w:rPr>
        <w:t xml:space="preserve">Historische Fassung: Stand 10.06.2019 bis 01.11.2025. Dies ist nicht die aktuelle Fassung.</w:t>
      </w:r>
    </w:p>
    <w:p>
      <w:r>
        <w:t xml:space="preserve">Bei Festnahme eines Mitgliedes des Bundestages bei Begehung der Tat oder im Laufe des folgenden Tages bedarf die Durchführung des Strafverfahrens oder eine Verhaftung, soweit sie bis spätestens "im Laufe des folgenden Tages" erfolgt, keiner Genehmigung (Artikel 46 Abs. 2 des Grundgesetzes). Eine erneute Vorführung oder Verhaftung nach vorheriger Freilassung und Verstreichen des der Tat folgenden Tages bedarf dann wieder der Genehmigung des Bundestages; denn hierin liegt eine Beschränkung der persönlichen Freiheit (Artikel 46 Abs. 2 des Grundgesetzes), die in keinem Zusammenhang mit der Festnahme "auf frischer Tat" steht.</w:t>
      </w:r>
    </w:p>
    <w:p>
      <w:r>
        <w:rPr>
          <w:color w:val="555555"/>
          <w:sz w:val="17"/>
        </w:rPr>
        <w:t xml:space="preserve">Zitiervorschlag: 6. BTGO1980Anl 6</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https://recht.nulegal.eu/gesetze/BTGO1980Anl%206/6.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6. BTGO1980Anl 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