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BTGO1980Anl 1 — Veröffentlichung</w:t>
      </w:r>
    </w:p>
    <w:p>
      <w:r>
        <w:rPr>
          <w:color w:val="555555"/>
          <w:sz w:val="18"/>
        </w:rPr>
        <w:t xml:space="preserve">Verhaltensregeln für Mitglieder des Deutschen Bundestages (Anlage 1 der Geschäftsordnung des Deutschen Bundestages, BGBl I 1980, 1237)</w:t>
      </w:r>
    </w:p>
    <w:p>
      <w:r>
        <w:rPr>
          <w:color w:val="555555"/>
          <w:sz w:val="18"/>
        </w:rPr>
        <w:t xml:space="preserve">Historische Fassung: Stand 19.12.2020 bis 12.11.2021. Dies ist nicht die aktuelle Fassung.</w:t>
      </w:r>
    </w:p>
    <w:p>
      <w:r>
        <w:t xml:space="preserve">Die Angaben gemäß § 1 Abs. 1 Nr. 1 und Abs. 2 Nr. 1 bis 6 werden auf den Internetseiten des Deutschen Bundestages veröffentlicht. Die Angaben gemäß § 1 Abs. 3 über Einkünfte werden in der Form veröffentlicht, dass bezogen auf jeden einzelnen veröffentlichten Sachverhalt jeweils eine von zehn Einkommensstufen ausgewiesen wird. Die Stufe 1 erfasst einmalige oder regelmäßige monatliche Einkünfte einer Größenordnung von über 1 000 bis 3 500 Euro, die Stufe 2 Einkünfte bis 7 000 Euro, die Stufe 3 Einkünfte bis 15 000 Euro, die Stufe 4 Einkünfte bis 30 000 Euro, die Stufe 5 Einkünfte bis 50 000 Euro, die Stufe 6 Einkünfte bis 75 000 Euro, die Stufe 7 Einkünfte bis 100 000 Euro, die Stufe 8 Einkünfte bis 150 000 Euro, die Stufe 9 Einkünfte bis 250 000 Euro und die Stufe 10 Einkünfte über 250 000 Euro. Regelmäßige monatliche Einkünfte werden als solche gekennzeichnet. Werden innerhalb eines Kalenderjahres unregelmäßige Einkünfte zu einer Tätigkeit angezeigt, wird die Jahressumme gebildet und die Einkommensstufe mit der Jahreszahl veröffentlicht.</w:t>
      </w:r>
    </w:p>
    <w:p>
      <w:r>
        <w:rPr>
          <w:color w:val="555555"/>
          <w:sz w:val="17"/>
        </w:rPr>
        <w:t xml:space="preserve">Zitiervorschlag: § 3 BTGO1980Anl 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https://recht.nulegal.eu/gesetze/BTGO1980Anl%201/3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BTGO1980Anl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