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99 BTGO 2025 — Dringliche Gesetzentwürfe der Bundesregierung nach Artikel 81 des Grundgesetzes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Gesetzentwürfe der Bundesregierung, die im Rahmen des Artikels 81 des Grundgesetzes von der Bundesregierung als dringlich bezeichnet oder nach Erklärung des Gesetzgebungsnotstandes dem Bundestag erneut vorgelegt worden sind, müssen auf Verlangen der Bundesregierung auf die Tagesordnung der nächsten Sitzung gesetzt werden. Absetzen von der Tagesordnung ist nur einmal möglich.</w:t>
      </w:r>
    </w:p>
    <w:p>
      <w:r>
        <w:t xml:space="preserve">(2) Der Gesetzentwurf gilt auch dann als abgelehnt, wenn zweimal in der zweiten oder dritten Beratung bei einer Einzel- oder Schlussabstimmung wegen Beschlussunfähigkeit ergebnislos abgestimmt worden ist.</w:t>
      </w:r>
    </w:p>
    <w:p>
      <w:r>
        <w:rPr>
          <w:color w:val="555555"/>
          <w:sz w:val="17"/>
        </w:rPr>
        <w:t xml:space="preserve">Zitiervorschlag: § 99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99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