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93c BTGO 2025 — Subsidiaritätsrüge</w:t>
      </w:r>
    </w:p>
    <w:p>
      <w:r>
        <w:rPr>
          <w:color w:val="555555"/>
          <w:sz w:val="18"/>
        </w:rPr>
        <w:t xml:space="preserve">Geschäftsordnung des Deutschen Bundestages</w:t>
      </w:r>
    </w:p>
    <w:p>
      <w:r>
        <w:rPr>
          <w:color w:val="555555"/>
          <w:sz w:val="18"/>
        </w:rPr>
        <w:t xml:space="preserve">Stand: 01.11.2025 (konsolidierte Textfassung, kein amtliches Inkrafttretensdatum)</w:t>
      </w:r>
    </w:p>
    <w:p>
      <w:r>
        <w:t xml:space="preserve">Die Entscheidung, gemäß Artikel 6 des Protokolls über die Anwendung der Grundsätze der Subsidiarität und der Verhältnismäßigkeit eine Subsidiaritätsrüge zu erheben, wird grundsätzlich vom Bundestag getroffen; nach Maßgabe des § 93b Absatz 2 bis 4 kann hierüber auch der Ausschuss für die Angelegenheiten der Europäischen Union entscheiden.</w:t>
      </w:r>
    </w:p>
    <w:p>
      <w:r>
        <w:rPr>
          <w:color w:val="555555"/>
          <w:sz w:val="17"/>
        </w:rPr>
        <w:t xml:space="preserve">Zitiervorschlag: § 93c BTGO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https://recht.nulegal.eu/gesetze/BTGO%202025/93c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