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BTGO 2025 — Aufgaben der Schriftführer</w:t>
      </w:r>
    </w:p>
    <w:p>
      <w:r>
        <w:rPr>
          <w:color w:val="555555"/>
          <w:sz w:val="18"/>
        </w:rPr>
        <w:t xml:space="preserve">Geschäftsordnung des Deutschen Bundestages</w:t>
      </w:r>
    </w:p>
    <w:p>
      <w:r>
        <w:rPr>
          <w:color w:val="555555"/>
          <w:sz w:val="18"/>
        </w:rPr>
        <w:t xml:space="preserve">Stand: 01.11.2025 (konsolidierte Textfassung, kein amtliches Inkrafttretensdatum)</w:t>
      </w:r>
    </w:p>
    <w:p>
      <w:r>
        <w:t xml:space="preserve">Die Schriftführer unterstützen den Präsidenten. Sie haben insbesondere die Rednerlisten zu führen, die Namen aufzurufen, die Stimmzettel zu sammeln und zu zählen sowie andere Angelegenheiten des Bundestages nach den Weisungen des Präsidenten zu besorgen. Der Präsident verteilt die Geschäfte.</w:t>
      </w:r>
    </w:p>
    <w:p>
      <w:r>
        <w:rPr>
          <w:color w:val="555555"/>
          <w:sz w:val="17"/>
        </w:rPr>
        <w:t xml:space="preserve">Zitiervorschlag: § 9 BTGO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