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 BTGO 2025 — Verfahren zu Artikel 113 des Grundgesetzes</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Macht die Bundesregierung von Artikel 113 Absatz 1 Satz 3 des Grundgesetzes Gebrauch, so ist die Beschlussfassung auszusetzen. Der Gesetzentwurf darf frühestens nach Eingang der Stellungnahme der Bundesregierung oder sechs Wochen nach Zugang des Verlangens der Bundesregierung beim Präsidenten auf die Tagesordnung gesetzt werden.</w:t>
      </w:r>
    </w:p>
    <w:p>
      <w:r>
        <w:t xml:space="preserve">(2) Verlangt die Bundesregierung nach Artikel 113 Absatz 2 des Grundgesetzes, dass der Bundestag erneut Beschluss fasst, gilt der Gesetzentwurf als an den federführenden Ausschuss und an den Haushaltsausschuss zurückverwiesen.</w:t>
      </w:r>
    </w:p>
    <w:p>
      <w:r>
        <w:t xml:space="preserve">(3) Ist das beschlossene Gesetz dem Bundesrat gemäß § 122 bereits zugeleitet worden, hat der Präsident den Bundesrat von dem Verlangen der Bundesregierung in Kenntnis zu setzen. In diesem Fall gilt die Zuleitung als nicht erfolgt.</w:t>
      </w:r>
    </w:p>
    <w:p>
      <w:r>
        <w:rPr>
          <w:color w:val="555555"/>
          <w:sz w:val="17"/>
        </w:rPr>
        <w:t xml:space="preserve">Zitiervorschlag: § 87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