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BTGO 2025 — Änderungsanträge und Zurückverweisung in dritter Beratung</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Änderungsanträge zu Gesetzentwürfen in dritter Beratung müssen von einer Fraktion oder von fünf vom Hundert der Mitglieder des Bundestages unterzeichnet sein und können mit einer kurzen Begründung versehen werden. Sie dürfen sich nur auf diejenigen Bestimmungen beziehen, zu denen in zweiter Beratung Änderungen beschlossen wurden. Die Einzelberatung ist auf diese Bestimmungen beschränkt.</w:t>
      </w:r>
    </w:p>
    <w:p>
      <w:r>
        <w:t xml:space="preserve">(2) Vor der Schlussabstimmung kann die Vorlage ganz oder teilweise auch an einen anderen Ausschuss zurückverwiesen werden; § 80 Absatz 1 findet Anwendung. Schlägt der Ausschuss Änderungen gegenüber den Beschlüssen des Bundestages in zweiter Beratung vor, wird die Beschlussempfehlung erneut in zweiter Beratung behandelt.</w:t>
      </w:r>
    </w:p>
    <w:p>
      <w:r>
        <w:rPr>
          <w:color w:val="555555"/>
          <w:sz w:val="17"/>
        </w:rPr>
        <w:t xml:space="preserve">Zitiervorschlag: § 85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