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83 BTGO 2025 — Zusammenstellung der Änderungen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Stand: 01.11.2025 (konsolidierte Textfassung, kein amtliches Inkrafttretensdatum)</w:t>
      </w:r>
    </w:p>
    <w:p>
      <w:r>
        <w:t xml:space="preserve">(1) Wurden in der zweiten Beratung Änderungen beschlossen, so lässt sie der Präsident zusammenstellen.</w:t>
      </w:r>
    </w:p>
    <w:p>
      <w:r>
        <w:t xml:space="preserve">(2) Die Beschlüsse der zweiten bilden die Grundlage der dritten Beratung.</w:t>
      </w:r>
    </w:p>
    <w:p>
      <w:r>
        <w:t xml:space="preserve">(3) Sind in der zweiten Beratung alle Teile eines Gesetzentwurfs abgelehnt worden, so ist die Vorlage abgelehnt und jede weitere Beratung unterbleibt.</w:t>
      </w:r>
    </w:p>
    <w:p>
      <w:r>
        <w:rPr>
          <w:color w:val="555555"/>
          <w:sz w:val="17"/>
        </w:rPr>
        <w:t xml:space="preserve">Zitiervorschlag: § 83 BTGO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https://recht.nulegal.eu/gesetze/BTGO%202025/83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