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BTGO 2025 — Änderungsanträge und Zurückverweisung in zweiter Beratung</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Änderungen zu Gesetzentwürfen in zweiter Beratung können beantragt werden, solange die Beratung des Gegenstandes, auf den sie sich beziehen, noch nicht abgeschlossen ist. Die Anträge müssen von mindestens einem Mitglied des Bundestages unterzeichnet sein und können mit einer kurzen Begründung versehen werden; wenn sie noch nicht verteilt sind, werden sie verlesen.</w:t>
      </w:r>
    </w:p>
    <w:p>
      <w:r>
        <w:t xml:space="preserve">(2) Zu Verträgen mit auswärtigen Staaten und ähnlichen Verträgen, welche die politischen Beziehungen des Bundes regeln oder sich auf Gegenstände der Bundesgesetzgebung beziehen (Artikel 59 Absatz 2 des Grundgesetzes), sind Änderungsanträge nicht zulässig.</w:t>
      </w:r>
    </w:p>
    <w:p>
      <w:r>
        <w:t xml:space="preserve">(3) Solange über die Vorlage nicht abschließend abgestimmt ist, kann sie ganz oder teilweise auch an einen anderen Ausschuss zurückverwiesen werden; dies gilt auch für bereits beratene Teile.</w:t>
      </w:r>
    </w:p>
    <w:p>
      <w:r>
        <w:rPr>
          <w:color w:val="555555"/>
          <w:sz w:val="17"/>
        </w:rPr>
        <w:t xml:space="preserve">Zitiervorschlag: § 82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