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BTGO 2025 — Tagesordnung der Ausschüsse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Termin und Tagesordnung werden vom Vorsitzenden festgesetzt, es sei denn, dass der Ausschuss vorher darüber beschließt. Die Tagesordnung soll den Ausschussmitgliedern in der Regel drei Tage vor der Sitzung zugeleitet werden.</w:t>
      </w:r>
    </w:p>
    <w:p>
      <w:r>
        <w:t xml:space="preserve">(2) Nach Eintritt in die Tagesordnung kann der Ausschuss die Tagesordnung mit Mehrheit ändern; erweitern kann er sie nur, wenn nicht eine Fraktion oder ein Drittel der Ausschussmitglieder widerspricht.</w:t>
      </w:r>
    </w:p>
    <w:p>
      <w:r>
        <w:t xml:space="preserve">(3) Die Tagesordnung jeder Ausschusssitzung ist mit Angabe des Ortes, des Termins und, soweit vereinbart, der Dauer der Sitzung den beteiligten Bundesministerien und dem Bundesrat mitzuteilen.</w:t>
      </w:r>
    </w:p>
    <w:p>
      <w:r>
        <w:rPr>
          <w:color w:val="555555"/>
          <w:sz w:val="17"/>
        </w:rPr>
        <w:t xml:space="preserve">Zitiervorschlag: § 61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