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BTGO 2025 — Ältestenrat</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Der Ältestenrat besteht aus dem Präsidenten, den Vizepräsidenten und dreiundzwanzig weiteren von den Fraktionen gemäß § 12 zu benennenden Mitgliedern. Die Einberufung obliegt dem Präsidenten. Er muss ihn einberufen, wenn eine Fraktion oder fünf vom Hundert der Mitglieder des Bundestages es verlangen.</w:t>
      </w:r>
    </w:p>
    <w:p>
      <w:r>
        <w:t xml:space="preserve">(2) Der Ältestenrat unterstützt den Präsidenten bei der Führung der Geschäfte. Er führt eine Verständigung zwischen den Fraktionen über die Besetzung der Stellen der Ausschussvorsitzenden und ihrer Stellvertreter sowie über den Arbeitsplan des Bundestages herbei. Bei der Wahrnehmung dieser Aufgaben ist der Ältestenrat kein Beschlussorgan.</w:t>
      </w:r>
    </w:p>
    <w:p>
      <w:r>
        <w:t xml:space="preserve">(3) Der Ältestenrat beschließt über die inneren Angelegenheiten des Bundestages, soweit sie nicht dem Präsidenten oder dem Präsidium vorbehalten sind. Er verfügt über die Verwendung der dem Bundestag vorbehaltenen Räume. Er stellt den Voranschlag für den Haushaltseinzelplan des Bundestages auf, von dem der Haushaltsausschuss nur im Benehmen mit dem Ältestenrat abweichen kann.</w:t>
      </w:r>
    </w:p>
    <w:p>
      <w:r>
        <w:t xml:space="preserve">(4) Zur Vorbereitung und Erfüllung seiner Aufgaben kann der Ältestenrat ständige Kommissionen einsetzen, denen auch Mitglieder des Bundestages, die nicht Mitglied des Ältestenrates sind, angehören können. Entscheidungen der Kommissionen kann der Ältestenrat jederzeit an sich ziehen.</w:t>
      </w:r>
    </w:p>
    <w:p>
      <w:r>
        <w:t xml:space="preserve">(5) Für die Sitzungen des Ältestenrates gilt der Grundsatz der Vertraulichkeit.</w:t>
      </w:r>
    </w:p>
    <w:p>
      <w:r>
        <w:rPr>
          <w:color w:val="555555"/>
          <w:sz w:val="17"/>
        </w:rPr>
        <w:t xml:space="preserve">Zitiervorschlag: § 6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