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BTGO 2025 — Rechte und Pflichten des Vorsitzenden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Dem Vorsitzenden obliegen die Vorbereitung, Einberufung und Leitung der Ausschusssitzungen sowie die Durchführung der Ausschussbeschlüsse. Er ist bei der Leitung der Ausschussgeschäfte vom Willen der Ausschussmehrheit abhängig, soweit ihm nicht diese Geschäftsordnung eigenständige Rechte zuweist. Die Vereinbarungen, die die Fraktionen im Ausschuss zur Abwicklung der Ausschussgeschäfte erzielt haben, sind zu beachten.</w:t>
      </w:r>
    </w:p>
    <w:p>
      <w:r>
        <w:t xml:space="preserve">(2) Der Vorsitzende erteilt das Wort in der Reihenfolge der Wortmeldungen unter Berücksichtigung des Grundsatzes des § 28 Absatz 1 Satz 2. Die Verteilung der Redezeiten durch den Vorsitzenden wird von den Fraktionen im Ausschuss einvernehmlich festgelegt. Kommt zur Verteilung der Redezeit kein Einvernehmen zu Stande, soll der Vorsitzende bei der Verteilung der Redezeit das Stärkeverhältnis der Fraktionen und das Prinzip von Rede und Gegenrede beachten.</w:t>
      </w:r>
    </w:p>
    <w:p>
      <w:r>
        <w:t xml:space="preserve">(3) Sitzungsteilnehmer, die nicht Mitglieder des Bundestages sind, und Zuhörer unterstehen während der Sitzung der Ordnungsgewalt des Vorsitzenden.</w:t>
      </w:r>
    </w:p>
    <w:p>
      <w:r>
        <w:t xml:space="preserve">(4) Der Vorsitzende kann im Bedarfsfall jedes Mitglied zur Einhaltung der parlamentarischen Ordnung und zur Achtung der Würde des Bundestages auffordern. Ist der ordnungsgemäße Ablauf einer Sitzung nicht mehr gewährleistet, kann der Vorsitzende die Sitzung unterbrechen oder im Einvernehmen mit den Fraktionen im Ausschuss beenden. Wurde die Sitzung aufgrund einer gröblichen Verletzung der Ordnung oder der Würde des Bundestages durch ein Mitglied des Bundestages unterbrochen, kann der Vorsitzende mit Zustimmung von mindestens zwei Dritteln der anwesenden Mitglieder des Ausschusses das Mitglied des Bundestages von der Sitzung ausschließen. § 39 findet mit der Maßgabe Anwendung, dass der Einspruch beim Präsidenten einzulegen ist.</w:t>
      </w:r>
    </w:p>
    <w:p>
      <w:r>
        <w:rPr>
          <w:color w:val="555555"/>
          <w:sz w:val="17"/>
        </w:rPr>
        <w:t xml:space="preserve">Zitiervorschlag: § 59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