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58a BTGO 2025 — Abwahl und Folgen des Ausscheidens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Stand: 01.11.2025 (konsolidierte Textfassung, kein amtliches Inkrafttretensdatum)</w:t>
      </w:r>
    </w:p>
    <w:p>
      <w:r>
        <w:t xml:space="preserve">(1) Auf die Abwahl des Vorsitzenden durch die Mitglieder des Ausschusses ist § 2a Absatz 4 und 5 entsprechend anzuwenden. Die Abwahl erfolgt in nichtöffentlicher Sitzung.</w:t>
      </w:r>
    </w:p>
    <w:p>
      <w:r>
        <w:t xml:space="preserve">(2) Wird der Vorsitzende abgewählt oder scheidet er aus anderen Gründen aus, findet auf die Wahl des neuen Vorsitzenden § 58 Absatz 2 bis 4 entsprechende Anwendung.</w:t>
      </w:r>
    </w:p>
    <w:p>
      <w:r>
        <w:t xml:space="preserve">(3) Die Absätze 1 und 2 gelten für die Abwahl und das Ausscheiden der Stellvertretung entsprechend.</w:t>
      </w:r>
    </w:p>
    <w:p>
      <w:r>
        <w:rPr>
          <w:color w:val="555555"/>
          <w:sz w:val="17"/>
        </w:rPr>
        <w:t xml:space="preserve">Zitiervorschlag: § 58a BTGO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https://recht.nulegal.eu/gesetze/BTGO%202025/58a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