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BTGO 2025 — Einsetzung von Unterausschüssen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Zur Vorbereitung seiner Arbeiten kann jeder Ausschuss aus seiner Mitte Unterausschüsse mit bestimmten Aufträgen einsetzen, es sei denn, dass ein Drittel seiner Mitglieder widerspricht. In Ausnahmefällen können die Fraktionen auch Mitglieder des Bundestages benennen, die nicht dem Ausschuss angehören. Der Unterausschuss hat seinen Bericht und seine Empfehlungen dem Ausschuss vorzulegen. Der Ausschuss kann den Unterausschuss mit den Stimmen der Mehrheit seiner Mitglieder jederzeit auflösen.</w:t>
      </w:r>
    </w:p>
    <w:p>
      <w:r>
        <w:t xml:space="preserve">(2) Der Ausschuss soll sich bei der Bestimmung des Wahlvorschlagsrechts für den Vorsitz des Unterausschusses nach dem Stärkeverhältnis der einzelnen Fraktionen richten (§ 12).</w:t>
      </w:r>
    </w:p>
    <w:p>
      <w:r>
        <w:t xml:space="preserve">(3) In einem Unterausschuss muss jede Fraktion, die im Ausschuss vertreten ist, auf ihr Verlangen mindestens mit einem Mitglied vertreten sein. Im Übrigen sind die Grundsätze des § 12 zu berücksichtigen.</w:t>
      </w:r>
    </w:p>
    <w:p>
      <w:r>
        <w:t xml:space="preserve">(4) Ist eine Vorlage mehreren Ausschüssen zur Beratung überwiesen worden oder fällt ein Verhandlungsgegenstand in den Geschäftsbereich mehrerer Ausschüsse, können diese einen gemeinsamen Unterausschuss bilden.</w:t>
      </w:r>
    </w:p>
    <w:p>
      <w:r>
        <w:rPr>
          <w:color w:val="555555"/>
          <w:sz w:val="17"/>
        </w:rPr>
        <w:t xml:space="preserve">Zitiervorschlag: § 55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