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BTGO 2025 — Wiedereröffnung der Aussprache</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Ergreift nach Schluss der Aussprache oder nach Ablauf der beschlossenen Redezeit ein Mitglied der Bundesregierung, des Bundesrates oder einer ihrer Beauftragten zu dem Verhandlungsgegenstand das Wort, so ist die Aussprache wieder eröffnet.</w:t>
      </w:r>
    </w:p>
    <w:p>
      <w:r>
        <w:t xml:space="preserve">(2) Erhält während der Aussprache ein Mitglied der Bundesregierung, des Bundesrates oder einer ihrer Beauftragten zu dem Verhandlungsgegenstand das Wort, so haben die Fraktionen, deren Redezeit zu diesem Tagesordnungspunkt bereits ausgeschöpft ist, das Recht, noch einmal ein Viertel ihrer Redezeit in Anspruch zu nehmen.</w:t>
      </w:r>
    </w:p>
    <w:p>
      <w:r>
        <w:t xml:space="preserve">(3) Ergreift ein Mitglied der Bundesregierung, des Bundesrates oder einer ihrer Beauftragten das Wort außerhalb der Tagesordnung, so wird auf Verlangen einer Fraktion oder von anwesenden fünf vom Hundert der Mitglieder des Bundestages die Aussprache über seine Ausführungen eröffnet. In dieser Aussprache dürfen keine Sachanträge gestellt werden.</w:t>
      </w:r>
    </w:p>
    <w:p>
      <w:r>
        <w:rPr>
          <w:color w:val="555555"/>
          <w:sz w:val="17"/>
        </w:rPr>
        <w:t xml:space="preserve">Zitiervorschlag: § 44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