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BTGO 2025 — Erklärung außerhalb der Tagesordnung</w:t>
      </w:r>
    </w:p>
    <w:p>
      <w:r>
        <w:rPr>
          <w:color w:val="555555"/>
          <w:sz w:val="18"/>
        </w:rPr>
        <w:t xml:space="preserve">Geschäftsordnung des Deutschen Bundestages</w:t>
      </w:r>
    </w:p>
    <w:p>
      <w:r>
        <w:rPr>
          <w:color w:val="555555"/>
          <w:sz w:val="18"/>
        </w:rPr>
        <w:t xml:space="preserve">Stand: 01.11.2025 (konsolidierte Textfassung, kein amtliches Inkrafttretensdatum)</w:t>
      </w:r>
    </w:p>
    <w:p>
      <w:r>
        <w:t xml:space="preserve">Zu einer dringlichen Erklärung tatsächlicher oder persönlicher Art außerhalb der vereinbarten oder beschlossenen Tagesordnungen erteilt der Präsident vor Eintritt in die jeweilige Tagesordnung, nach Schluss, Unterbrechung oder Vertagung einer Aussprache nach seinem Ermessen das Wort. Der Anlass ist ihm vorab mitzuteilen. Die Erklärung darf nicht länger als drei Minuten dauern.</w:t>
      </w:r>
    </w:p>
    <w:p>
      <w:r>
        <w:rPr>
          <w:color w:val="555555"/>
          <w:sz w:val="17"/>
        </w:rPr>
        <w:t xml:space="preserve">Zitiervorschlag: § 32 BTGO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https://recht.nulegal.eu/gesetze/BTGO%202025/32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