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BTGO 2025</w:t>
      </w:r>
    </w:p>
    <w:p>
      <w:r>
        <w:rPr>
          <w:color w:val="555555"/>
          <w:sz w:val="18"/>
        </w:rPr>
        <w:t xml:space="preserve">Geschäftsordnung des Deutschen Bundestages</w:t>
      </w:r>
    </w:p>
    <w:p>
      <w:r>
        <w:rPr>
          <w:color w:val="555555"/>
          <w:sz w:val="18"/>
        </w:rPr>
        <w:t xml:space="preserve">Stand: 01.11.2025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30 BTGO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https://recht.nulegal.eu/gesetze/BTGO%202025/30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