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BTGO 2025 — Wahl der Vizepräsidenten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Der Bundestag beschließt die Anzahl der Vizepräsidenten, wobei jede Fraktion mindestens für ein Amt zu berücksichtigen ist. Er legt fest, welche Fraktion jeweils für welches Amt einen Wahlvorschlag unterbreiten kann.</w:t>
      </w:r>
    </w:p>
    <w:p>
      <w:r>
        <w:t xml:space="preserve">(2) Die Vizepräsidenten werden in gesonderten Wahlverfahren ohne Aussprache mit verdeckten Stimmzetteln (§ 49) gewählt. Gewählt ist, wer im ersten oder im zweiten Wahlgang die Stimmen der Mehrheit der Mitglieder des Bundestages erhält. Im dritten Wahlgang des Wahlverfahrens ist gewählt, wer mehr Ja- als Nein-Stimmen auf sich vereinigt. Weitere Wahlgänge nach einem erfolglosen dritten Wahlgang sind mit diesem Bewerber nur nach Vereinbarung im Ältestenrat zulässig.</w:t>
      </w:r>
    </w:p>
    <w:p>
      <w:r>
        <w:t xml:space="preserve">(3) Ist in der konstituierenden Sitzung das Wahlverfahren nach Absatz 2 erfolglos oder hat die vorschlagsberechtigte Fraktion in dieser Sitzung auf weitere Wahlgänge verzichtet, findet § 20 Absatz 4 auf sämtliche nachfolgende Wahlgänge Anwendung. Wird ein neuer Bewerber vorgeschlagen, ist in ein neues Wahlverfahren nach Absatz 2 einzutreten. Mit der Einbringung eines neuen Wahlvorschlages gilt das bisherige Wahlverfahren als erfolglos. Nach drei erfolglosen Wahlverfahren bedarf ein neuer Wahlvorschlag der Unterstützung von mindestens einem Viertel der Mitglieder des Bundestages.</w:t>
      </w:r>
    </w:p>
    <w:p>
      <w:r>
        <w:t xml:space="preserve">(4) Auf Antrag mindestens der Hälfte der Mitglieder des Bundestages kann ein Vizepräsident abgewählt werden. Der Vizepräsident ist abgewählt, wenn mindestens zwei Drittel der Mitglieder des Bundestages für die Abwahl stimmen. Die Abwahl erfolgt in gesonderten Wahlverfahren ohne Aussprache mit verdeckten Stimmzetteln (§ 49) frühestens drei Wochen nach Antragstellung.</w:t>
      </w:r>
    </w:p>
    <w:p>
      <w:r>
        <w:t xml:space="preserve">(5) Scheidet ein Vizepräsident aus oder wird er abgewählt, verbleibt das Vorschlagsrecht bei der berechtigten Fraktion. Auf die Nachwahl finden die Absätze 2 und 3 entsprechende Anwendung. Ein abgewählter Vizepräsident kann nicht erneut vorgeschlagen werden.</w:t>
      </w:r>
    </w:p>
    <w:p>
      <w:r>
        <w:rPr>
          <w:color w:val="555555"/>
          <w:sz w:val="17"/>
        </w:rPr>
        <w:t xml:space="preserve">Zitiervorschlag: § 2a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