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BTGO 2025 — Worterteilung und Wortmeldung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Der Präsident erteilt das Wort.</w:t>
      </w:r>
    </w:p>
    <w:p>
      <w:r>
        <w:t xml:space="preserve">(2) Will der Präsident selbst sich als Redner an der Aussprache beteiligen, so hat er während dieser Zeit den Vorsitz abzugeben.</w:t>
      </w:r>
    </w:p>
    <w:p>
      <w:r>
        <w:t xml:space="preserve">(3) Mitglieder des Bundestages, die zur Sache sprechen wollen oder anderweitig das Wort erhalten möchten, haben in der Regel ihren Redewunsch bei dem Schriftführer, der die Rednerliste führt, anzumelden.</w:t>
      </w:r>
    </w:p>
    <w:p>
      <w:r>
        <w:rPr>
          <w:color w:val="555555"/>
          <w:sz w:val="17"/>
        </w:rPr>
        <w:t xml:space="preserve">Zitiervorschlag: § 27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