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23 BTGO 2025 — Eröffnung der Aussprache</w:t>
      </w:r>
    </w:p>
    <w:p>
      <w:r>
        <w:rPr>
          <w:color w:val="555555"/>
          <w:sz w:val="18"/>
        </w:rPr>
        <w:t xml:space="preserve">Geschäftsordnung des Deutschen Bundestages</w:t>
      </w:r>
    </w:p>
    <w:p>
      <w:r>
        <w:rPr>
          <w:color w:val="555555"/>
          <w:sz w:val="18"/>
        </w:rPr>
        <w:t xml:space="preserve">Stand: 01.11.2025 (konsolidierte Textfassung, kein amtliches Inkrafttretensdatum)</w:t>
      </w:r>
    </w:p>
    <w:p>
      <w:r>
        <w:t xml:space="preserve">Der Präsident hat über jeden Verhandlungsgegenstand, der auf der Tagesordnung steht, die Aussprache zu eröffnen, wenn diese nicht unzulässig oder an besondere Bedingungen geknüpft ist.</w:t>
      </w:r>
    </w:p>
    <w:p>
      <w:r>
        <w:rPr>
          <w:color w:val="555555"/>
          <w:sz w:val="17"/>
        </w:rPr>
        <w:t xml:space="preserve">Zitiervorschlag: § 23 BTGO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https://recht.nulegal.eu/gesetze/BTGO%202025/23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23 BTGO 2025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