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BTGO 2025 — Einberufung durch den Präsidenten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Selbständig setzt der Präsident Termin und Tagesordnung fest, wenn der Bundestag ihn dazu ermächtigt oder aus einem anderen Grunde als dem der Beschlussunfähigkeit nicht entscheiden kann.</w:t>
      </w:r>
    </w:p>
    <w:p>
      <w:r>
        <w:t xml:space="preserve">(2) Der Präsident ist zur Einberufung des Bundestages verpflichtet, wenn ein Drittel der Mitglieder des Bundestages, der Bundespräsident oder der Bundeskanzler es verlangen (Artikel 39 Absatz 3 des Grundgesetzes).</w:t>
      </w:r>
    </w:p>
    <w:p>
      <w:r>
        <w:t xml:space="preserve">(3) Hat der Präsident in anderen Fällen selbständig eine Sitzung anberaumt oder Nachträge zur Tagesordnung festgesetzt, so muss er bei Beginn der Sitzung die Genehmigung des Bundestages einholen.</w:t>
      </w:r>
    </w:p>
    <w:p>
      <w:r>
        <w:rPr>
          <w:color w:val="555555"/>
          <w:sz w:val="17"/>
        </w:rPr>
        <w:t xml:space="preserve">Zitiervorschlag: § 21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