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BTGO 2025 — Tagesordnung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Termin und Tagesordnung jeder Sitzung des Bundestages werden im Ältestenrat vereinbart, es sei denn, dass der Bundestag vorher darüber beschließt oder der Präsident sie nach § 21 Absatz 1 selbständig festsetzt.</w:t>
      </w:r>
    </w:p>
    <w:p>
      <w:r>
        <w:t xml:space="preserve">(2) Die Tagesordnung wird den Mitgliedern des Bundestages, dem Bundesrat und der Bundesregierung mitgeteilt. Sie gilt, wenn kein Widerspruch erfolgt, mit Aufruf des Punktes 1 als festgestellt. Nach Eröffnung jeder Plenarsitzung kann vor Eintritt in die jeweilige Tagesordnung jedes Mitglied des Bundestages eine Änderung der Tagesordnung beantragen, wenn es diesen Antrag bis spätestens 18 Uhr des Vortages dem Präsidenten vorgelegt hat.</w:t>
      </w:r>
    </w:p>
    <w:p>
      <w:r>
        <w:t xml:space="preserve">(3) Nach Feststellung der Tagesordnung dürfen andere Verhandlungsgegenstände nur beraten werden, wenn nicht von einer Fraktion oder von anwesenden fünf vom Hundert der Mitglieder des Bundestages widersprochen wird oder diese Geschäftsordnung die Beratung außerhalb der Tagesordnung zulässt. Der Bundestag kann jederzeit einen Verhandlungsgegenstand von der Tagesordnung absetzen, soweit diese Geschäftsordnung nichts anderes bestimmt.</w:t>
      </w:r>
    </w:p>
    <w:p>
      <w:r>
        <w:t xml:space="preserve">(4) Vorlagen von Mitgliedern des Bundestages müssen auf Verlangen der Antragsteller auf die Tagesordnung der nächsten Sitzung gesetzt und beraten werden, wenn seit der Verteilung der Drucksache (§ 123) mindestens drei Wochen vergangen sind.</w:t>
      </w:r>
    </w:p>
    <w:p>
      <w:r>
        <w:rPr>
          <w:color w:val="555555"/>
          <w:sz w:val="17"/>
        </w:rPr>
        <w:t xml:space="preserve">Zitiervorschlag: § 20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