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15 BTGO 2025 — Anfechtung und Verlust der Mitgliedschaft</w:t>
      </w:r>
    </w:p>
    <w:p>
      <w:r>
        <w:rPr>
          <w:color w:val="555555"/>
          <w:sz w:val="18"/>
        </w:rPr>
        <w:t xml:space="preserve">Geschäftsordnung des Deutschen Bundestages</w:t>
      </w:r>
    </w:p>
    <w:p>
      <w:r>
        <w:rPr>
          <w:color w:val="555555"/>
          <w:sz w:val="18"/>
        </w:rPr>
        <w:t xml:space="preserve">Stand: 01.11.2025 (konsolidierte Textfassung, kein amtliches Inkrafttretensdatum)</w:t>
      </w:r>
    </w:p>
    <w:p>
      <w:r>
        <w:t xml:space="preserve">Die Rechte eines Mitgliedes des Bundestages, dessen Mitgliedschaft angefochten ist, regeln sich nach den Bestimmungen des Wahlprüfungsgesetzes. Nach diesem Gesetz richtet sich auch der Verlust der Mitgliedschaft.</w:t>
      </w:r>
    </w:p>
    <w:p>
      <w:r>
        <w:rPr>
          <w:color w:val="555555"/>
          <w:sz w:val="17"/>
        </w:rPr>
        <w:t xml:space="preserve">Zitiervorschlag: § 15 BTGO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https://recht.nulegal.eu/gesetze/BTGO%202025/15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15 BTGO 2025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