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122a BTGO 2025 — Elektronische Dokumente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(1) Soweit für die Einbringung von Vorlagen Schriftform vorgesehen ist, genügt dieser Form die Aufzeichnung als elektronisches Dokument, wenn dieses für die weitere Bearbeitung geeignet ist.</w:t>
      </w:r>
    </w:p>
    <w:p>
      <w:r>
        <w:t xml:space="preserve">(2) Das Dokument muss mit einer elektronischen Signatur nach der Verordnung (EU) Nr. 910/2014 des Europäischen Parlaments und des Rates vom 23. Juli 2014 über elektronische Identifizierung und Vertrauensdienste für elektronische Transaktionen im Binnenmarkt und zur Aufhebung der Richtlinie 1999/93/EG (ABl. L 257 vom 28.8.2014, S. 73; L 23 vom 29.1.2015, S. 19; L 155 vom 14.6.2016, S. 44) versehen sein. Das Nähere regeln Ausführungsbestimmungen, die vom Ältestenrat zu erlassen sind.</w:t>
      </w:r>
    </w:p>
    <w:p>
      <w:r>
        <w:rPr>
          <w:color w:val="555555"/>
          <w:sz w:val="17"/>
        </w:rPr>
        <w:t xml:space="preserve">Zitiervorschlag: § 122a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https://recht.nulegal.eu/gesetze/BTGO%202025/122a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