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113 BTGO 2025 — Wahl des Wehrbeauftragten</w:t>
      </w:r>
    </w:p>
    <w:p>
      <w:r>
        <w:rPr>
          <w:color w:val="555555"/>
          <w:sz w:val="18"/>
        </w:rPr>
        <w:t xml:space="preserve">Geschäftsordnung des Deutschen Bundestages</w:t>
      </w:r>
    </w:p>
    <w:p>
      <w:r>
        <w:rPr>
          <w:color w:val="555555"/>
          <w:sz w:val="18"/>
        </w:rPr>
        <w:t xml:space="preserve">Stand: 01.11.2025 (konsolidierte Textfassung, kein amtliches Inkrafttretensdatum)</w:t>
      </w:r>
    </w:p>
    <w:p>
      <w:r>
        <w:t xml:space="preserve">Die Wahl des Wehrbeauftragten erfolgt mit verdeckten Stimmzetteln (§ 49).</w:t>
      </w:r>
    </w:p>
    <w:p>
      <w:r>
        <w:rPr>
          <w:color w:val="555555"/>
          <w:sz w:val="17"/>
        </w:rPr>
        <w:t xml:space="preserve">Zitiervorschlag: § 113 BTGO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https://recht.nulegal.eu/gesetze/BTGO%202025/113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