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111 BTGO 2025 — Übertragung von Befugnissen auf einzelne Mitglieder des Petitionsausschusses</w:t>
      </w:r>
    </w:p>
    <w:p>
      <w:r>
        <w:rPr>
          <w:color w:val="555555"/>
          <w:sz w:val="18"/>
        </w:rPr>
        <w:t xml:space="preserve">Geschäftsordnung des Deutschen Bundestages</w:t>
      </w:r>
    </w:p>
    <w:p>
      <w:r>
        <w:rPr>
          <w:color w:val="555555"/>
          <w:sz w:val="18"/>
        </w:rPr>
        <w:t xml:space="preserve">Stand: 01.11.2025 (konsolidierte Textfassung, kein amtliches Inkrafttretensdatum)</w:t>
      </w:r>
    </w:p>
    <w:p>
      <w:r>
        <w:t xml:space="preserve">Die Übertragung von Befugnissen nach dem Gesetz nach Artikel 45c des Grundgesetzes auf eines oder mehrere seiner Mitglieder muss der Petitionsausschuss im Einzelfall beschließen. Inhalt und Umfang der Übertragung sind im Beschluss zu bestimmen.</w:t>
      </w:r>
    </w:p>
    <w:p>
      <w:r>
        <w:rPr>
          <w:color w:val="555555"/>
          <w:sz w:val="17"/>
        </w:rPr>
        <w:t xml:space="preserve">Zitiervorschlag: § 111 BTGO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https://recht.nulegal.eu/gesetze/BTGO%202025/111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