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BTGO 2025 — Bildung der Fraktionen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Die Fraktionen sind Vereinigungen von mindestens fünf vom Hundert der Mitglieder des Bundestages, die derselben Partei angehören oder von derselben Partei als Wahlbewerber aufgestellt worden sind oder solchen Parteien angehören, die aufgrund gleichgerichteter politischer Ziele in keinem Land miteinander im Wettbewerb stehen. Schließen sich Mitglieder des Bundestages abweichend von Satz 1 zusammen, bedarf die Anerkennung als Fraktion der Zustimmung des Bundestages.</w:t>
      </w:r>
    </w:p>
    <w:p>
      <w:r>
        <w:t xml:space="preserve">(2) Die Bildung einer Fraktion, ihre Bezeichnung, die Namen der Vorsitzenden, Mitglieder und Gäste sind dem Präsidenten schriftlich mitzuteilen.</w:t>
      </w:r>
    </w:p>
    <w:p>
      <w:r>
        <w:t xml:space="preserve">(3) Fraktionen können Gäste aufnehmen, die bei der Bestimmung der Reihenfolge der Fraktionen (§ 11) nicht mitzählen, jedoch bei der Bemessung der Stellenanteile (§ 12) zu berücksichtigen sind.</w:t>
      </w:r>
    </w:p>
    <w:p>
      <w:r>
        <w:rPr>
          <w:color w:val="555555"/>
          <w:sz w:val="17"/>
        </w:rPr>
        <w:t xml:space="preserve">Zitiervorschlag: § 10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