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96a BTGO 1980 — Verfahren nach dem Parlamentsbeteiligungsgesetz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(1) Der Vorsitzende eines Ausschusses ist zur Einberufung einer Sitzung außerhalb des Zeitplans zur Beratung über einen Antrag gemäß § 4 Abs. 1 oder § 7 Abs. 1 in Verbindung mit § 4 Abs. 1 des Parlamentsbeteiligungsgesetzes verpflichtet, wenn es eine Fraktion im Ausschuss oder mindestens ein Drittel der Mitglieder des Ausschusses verlangt und die Genehmigung des Präsidenten erteilt worden ist.</w:t>
      </w:r>
    </w:p>
    <w:p>
      <w:r>
        <w:t xml:space="preserve">(2) Ein Verlangen auf Befassung des Bundestages gemäß § 4 Abs. 1 Satz 4 oder § 7 Abs. 1 in Verbindung mit § 4 Abs. 1 des Parlamentsbeteiligungsgesetzes muss binnen sieben Tagen seit der Verteilung der Drucksache beim Präsidenten eingehen. Nach Eingang des Verlangens unterrichtet der Präsident die Fraktionen und die Bundesregierung hierüber unverzüglich.</w:t>
      </w:r>
    </w:p>
    <w:p>
      <w:r>
        <w:t xml:space="preserve">(3) Unterrichtet die Bundesregierung den Bundestag gemäß § 6 Abs. 1 des Parlamentsbeteiligungsgesetzes durch einen schriftlichen Bericht, wird dieser als Drucksache verteilt. Das Gleiche gilt für sonstige schriftliche Unterrichtungen des Bundestages. In Fällen des § 5 Abs. 1 des Parlamentsbeteiligungsgesetzes werden gemäß Absatz 2 grundsätzlich die Vorsitzenden und Obleute des Auswärtigen Ausschusses und des Verteidigungsausschusses außerhalb einer Ausschusssitzung unterrichtet. Hat der Bundestag einem Antrag gemäß § 5 Abs. 3 des Parlamentsbeteiligungsgesetzes zugestimmt, gelten für weitere Unterrichtungen die allgemeinen Regelungen.</w:t>
      </w:r>
    </w:p>
    <w:p>
      <w:r>
        <w:t xml:space="preserve">(4) Die Geheimschutzordnung des Deutschen Bundestages (Anlage 3) findet Anwendung.</w:t>
      </w:r>
    </w:p>
    <w:p>
      <w:r>
        <w:rPr>
          <w:color w:val="555555"/>
          <w:sz w:val="17"/>
        </w:rPr>
        <w:t xml:space="preserve">Zitiervorschlag: § 96a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https://recht.nulegal.eu/gesetze/BTGO%201980/96a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