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93d BTGO 1980 — Subsidiaritätsklage</w:t>
      </w:r>
    </w:p>
    <w:p>
      <w:r>
        <w:rPr>
          <w:color w:val="555555"/>
          <w:sz w:val="18"/>
        </w:rPr>
        <w:t xml:space="preserve">Geschäftsordnung des Deutschen Bundestages</w:t>
      </w:r>
    </w:p>
    <w:p>
      <w:r>
        <w:rPr>
          <w:color w:val="555555"/>
          <w:sz w:val="18"/>
        </w:rPr>
        <w:t xml:space="preserve">Historische Fassung: Stand 07.01.2023 bis 01.11.2025. Dies ist nicht die aktuelle Fassung.</w:t>
      </w:r>
    </w:p>
    <w:p>
      <w:r>
        <w:t xml:space="preserve">(1) Beschließt der Bundestag die Erhebung einer Klage nach Artikel 8 des Protokolls über die Anwendung der Grundsätze der Subsidiarität und der Verhältnismäßigkeit (Subsidiaritätsklage), ist für deren Durchführung einschließlich der Prozessführung vor dem Europäischen Gerichtshof der Ausschuss für die Angelegenheiten der Europäischen Union zuständig. Dies schließt die Formulierung der Klageschrift und die Benennung eines Prozessbevollmächtigten ein, falls dies nicht bereits durch den Bundestag beschlossen wurde.</w:t>
      </w:r>
    </w:p>
    <w:p>
      <w:r>
        <w:t xml:space="preserve">(2) Verlangt mindestens ein Viertel der Mitglieder des Bundestages die Erhebung der Klage (Artikel 23 Absatz 1a Satz 2 des Grundgesetzes), ist der Antrag so rechtzeitig zu stellen, dass innerhalb der Klagefrist eine angemessene Beratung im Bundestag gesichert ist. Der Antrag hat mindestens die wesentlichen Klagegründe zu benennen. Absatz 1 gilt mit der Maßgabe, dass die Benennung eines Prozessbevollmächtigten im Einvernehmen mit den Antragstellern erfolgt und bei der Formulierung der Klageschrift sowie der Durchführung des Klageverfahrens die Antragsteller angemessen zu beteiligen sind. Diese haben einen Bevollmächtigten zu benennen. § 69 Absatz 5 Satz 3 ist anzuwenden.</w:t>
      </w:r>
    </w:p>
    <w:p>
      <w:r>
        <w:t xml:space="preserve">(3) Abweichende Auffassungen, die gemäß § 12 Absatz 1 Satz 2 des Integrationsverantwortungsgesetzes von mindestens einem Viertel der Mitglieder des Bundestages vertreten werden, sind ebenfalls in die Klageschrift aufzunehmen. Absatz 2 Satz 3 zweiter Halbsatz, Satz 4 und 5 gilt entsprechend.</w:t>
      </w:r>
    </w:p>
    <w:p>
      <w:r>
        <w:t xml:space="preserve">(4) Fällt der Ablauf der Frist für die Einreichung einer Subsidiaritätsklage auf einen Zeitpunkt außerhalb des Zeitplanes des Bundestages, ist der Ausschuss für die Angelegenheiten der Europäischen Union zur Erhebung der Klage ermächtigt, sofern nicht der Bundestag zuvor hierüber entschieden hat. § 93b Absatz 2 Satz 3 gilt entsprechend.</w:t>
      </w:r>
    </w:p>
    <w:p>
      <w:r>
        <w:rPr>
          <w:color w:val="555555"/>
          <w:sz w:val="17"/>
        </w:rPr>
        <w:t xml:space="preserve">Zitiervorschlag: § 93d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https://recht.nulegal.eu/gesetze/BTGO%201980/93d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93d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