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BTGO 1980 — Rechtsverordnungen</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Rechtsverordnungen der Bundesregierung, die der Zustimmung des Bundestages bedürfen oder deren Aufhebung der Bundestag innerhalb einer bestimmten Frist verlangen kann, überweist der Präsident im Benehmen mit dem Ältestenrat unmittelbar an die zuständigen Ausschüsse. Dabei hat er eine Frist zu bestimmen, innerhalb der der federführende Ausschuß dem Bundestag einen Bericht vorzulegen hat. Der Bericht des Ausschusses ist auf die Tagesordnung der nächsten Sitzung des Bundestages zu setzen. Legt der Ausschuß diesen Bericht nicht rechtzeitig vor, ist die Vorlage auch ohne Ausschußbericht zur Beschlußfassung auf die Tagesordnung der nächsten Sitzung des Bundestages zu setzen.</w:t>
      </w:r>
    </w:p>
    <w:p>
      <w:r>
        <w:rPr>
          <w:color w:val="555555"/>
          <w:sz w:val="17"/>
        </w:rPr>
        <w:t xml:space="preserve">Zitiervorschlag: § 92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