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85 BTGO 1980 — Änderungsanträge und Zurückverweisung in dritter Beratung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Änderungsanträge zu Gesetzentwürfen in dritter Beratung müssen von einer Fraktion oder von fünf vom Hundert der Mitglieder des Bundestages unterzeichnet sein und können mit einer kurzen Begründung versehen werden. Sie dürfen sich nur auf diejenigen Bestimmungen beziehen, zu denen in zweiter Beratung Änderungen beschlossen wurden. Die Einzelberatung ist auf diese Bestimmungen beschränkt.</w:t>
      </w:r>
    </w:p>
    <w:p>
      <w:r>
        <w:t xml:space="preserve">(2) Vor der Schlußabstimmung kann die Vorlage ganz oder teilweise auch an einen anderen Ausschuß zurückverwiesen werden; § 80 Abs. 1 findet Anwendung. Schlägt der Ausschuß Änderungen gegenüber den Beschlüssen des Bundestages in zweiter Beratung vor, wird die Beschlußempfehlung erneut in zweiter Beratung behandelt.</w:t>
      </w:r>
    </w:p>
    <w:p>
      <w:r>
        <w:rPr>
          <w:color w:val="555555"/>
          <w:sz w:val="17"/>
        </w:rPr>
        <w:t xml:space="preserve">Zitiervorschlag: § 85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85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