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84 BTGO 1980 — Dritte Beratung von Gesetzentwürfen</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Die dritte Beratung erfolgt,</w:t>
      </w:r>
    </w:p>
    <w:p>
      <w:pPr>
        <w:ind w:left="420"/>
      </w:pPr>
      <w:r>
        <w:t xml:space="preserve">a) wenn in zweiter Beratung keine Änderungen beschlossen worden sind, anschließend,</w:t>
      </w:r>
    </w:p>
    <w:p>
      <w:pPr>
        <w:ind w:left="420"/>
      </w:pPr>
      <w:r>
        <w:t xml:space="preserve">b) wenn Änderungen beschlossen sind, am zweiten Tage nach Verteilung der Drucksachen mit den beschlossenen Änderungen, früher nur, wenn auf Antrag einer Fraktion oder von fünf vom Hundert der Mitglieder des Bundestages zwei Drittel der anwesenden Mitglieder des Bundestages es beschließen; bei Gesetzentwürfen der Bundesregierung, die für dringlich erklärt worden sind (Artikel 81 des Grundgesetzes), kann die Fristverkürzung mit der Mehrheit der Mitglieder des Bundestages beschlossen werden. Für den Antrag gilt die Frist des § 20 Abs. 2 Satz 3.</w:t>
      </w:r>
    </w:p>
    <w:p>
      <w:r>
        <w:t xml:space="preserve">Sie beginnt mit einer allgemeinen Aussprache nur dann, wenn in zweiter Beratung keine allgemeine Aussprache stattgefunden hat und sie vom Ältestenrat empfohlen oder von anwesenden fünf vom Hundert der Mitglieder des Bundestages verlangt wird.</w:t>
      </w:r>
    </w:p>
    <w:p>
      <w:r>
        <w:rPr>
          <w:color w:val="555555"/>
          <w:sz w:val="17"/>
        </w:rPr>
        <w:t xml:space="preserve">Zitiervorschlag: § 84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https://recht.nulegal.eu/gesetze/BTGO%201980/84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84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