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BTGO 1980 — Zusammenstellung der Änderungen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(1) Wurden in der zweiten Beratung Änderungen beschlossen, so läßt sie der Präsident zusammenstellen.</w:t>
      </w:r>
    </w:p>
    <w:p>
      <w:r>
        <w:t xml:space="preserve">(2) Die Beschlüsse der zweiten bilden die Grundlage der dritten Beratung.</w:t>
      </w:r>
    </w:p>
    <w:p>
      <w:r>
        <w:t xml:space="preserve">(3) Sind in der zweiten Beratung alle Teile eines Gesetzentwurfs abgelehnt worden, so ist die Vorlage abgelehnt und jede weitere Beratung unterbleibt.</w:t>
      </w:r>
    </w:p>
    <w:p>
      <w:r>
        <w:rPr>
          <w:color w:val="555555"/>
          <w:sz w:val="17"/>
        </w:rPr>
        <w:t xml:space="preserve">Zitiervorschlag: § 83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