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82 BTGO 1980 — Änderungsanträge und Zurückverweisung in zweiter Beratung</w:t>
      </w:r>
    </w:p>
    <w:p>
      <w:r>
        <w:rPr>
          <w:color w:val="555555"/>
          <w:sz w:val="18"/>
        </w:rPr>
        <w:t xml:space="preserve">Geschäftsordnung des Deutschen Bundestages</w:t>
      </w:r>
    </w:p>
    <w:p>
      <w:r>
        <w:rPr>
          <w:color w:val="555555"/>
          <w:sz w:val="18"/>
        </w:rPr>
        <w:t xml:space="preserve">Historische Fassung: Stand 10.06.2019 bis 01.11.2025. Dies ist nicht die aktuelle Fassung.</w:t>
      </w:r>
    </w:p>
    <w:p>
      <w:r>
        <w:t xml:space="preserve">(1) Änderungen zu Gesetzentwürfen in zweiter Beratung können beantragt werden, solange die Beratung des Gegenstandes, auf den sie sich beziehen, noch nicht abgeschlossen ist. Die Anträge müssen von mindestens einem Mitglied des Bundestages unterzeichnet sein und können mit einer kurzen Begründung versehen werden; wenn sie noch nicht verteilt sind, werden sie verlesen.</w:t>
      </w:r>
    </w:p>
    <w:p>
      <w:r>
        <w:t xml:space="preserve">(2) Zu Verträgen mit auswärtigen Staaten und ähnlichen Verträgen, welche die politischen Beziehungen des Bundes regeln oder sich auf Gegenstände der Bundesgesetzgebung beziehen (Artikel 59 Abs. 2 des Grundgesetzes), sind Änderungsanträge nicht zulässig.</w:t>
      </w:r>
    </w:p>
    <w:p>
      <w:r>
        <w:t xml:space="preserve">(3) Solange nicht die letzte Einzelabstimmung erledigt ist, kann die Vorlage ganz oder teilweise auch an einen anderen Ausschuß zurückverwiesen werden; dies gilt auch für bereits beratene Teile.</w:t>
      </w:r>
    </w:p>
    <w:p>
      <w:r>
        <w:rPr>
          <w:color w:val="555555"/>
          <w:sz w:val="17"/>
        </w:rPr>
        <w:t xml:space="preserve">Zitiervorschlag: § 82 BTGO 1980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https://recht.nulegal.eu/gesetze/BTGO%201980/82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82 BTGO 1980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