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77 BTGO 1980 — Behandlung der Vorlagen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Vorlagen werden an die Mitglieder des Bundestages, des Bundesrates und an die Bundesministerien in der Regel auf elektronischem Weg verteilt. Eine Verteilung in Papierform ist weiterhin zulässig.</w:t>
      </w:r>
    </w:p>
    <w:p>
      <w:r>
        <w:t xml:space="preserve">(2) Bei Vorlagen gemäß § 75 Abs. 1 Buchstabe e, die der Unterrichtung des Bundestages dienen (Berichte, Denkschriften, Programme, Gutachten, Nachweisungen und ähnliches), kann der Präsident, soweit sie nicht auf gesetzlichen Vorschriften oder Beschlüssen des Bundestages beruhen, im Benehmen mit dem Ältestenrat ganz oder teilweise von der Verteilung absehen. In diesen Fällen wird der Eingang dieser Vorlagen und im Benehmen mit dem Ältestenrat die Art ihrer Behandlung als amtliche Mitteilung durch den Präsidenten bekanntgegeben. Sie werden als Übersicht in einer Drucksache zusammengestellt, in der auch anzugeben ist, in welchen Räumen des Bundestages die Vorlagen eingesehen werden können.</w:t>
      </w:r>
    </w:p>
    <w:p>
      <w:r>
        <w:rPr>
          <w:color w:val="555555"/>
          <w:sz w:val="17"/>
        </w:rPr>
        <w:t xml:space="preserve">Zitiervorschlag: § 77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77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