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 BTGO 1980 — Beschlussfähigkeit und Abstimmungen im Ausschuss</w:t>
      </w:r>
    </w:p>
    <w:p>
      <w:r>
        <w:rPr>
          <w:color w:val="555555"/>
          <w:sz w:val="18"/>
        </w:rPr>
        <w:t xml:space="preserve">Geschäftsordnung des Deutschen Bundestages</w:t>
      </w:r>
    </w:p>
    <w:p>
      <w:r>
        <w:rPr>
          <w:color w:val="555555"/>
          <w:sz w:val="18"/>
        </w:rPr>
        <w:t xml:space="preserve">Historische Fassung: Stand 07.01.2023 bis 01.11.2025. Dies ist nicht die aktuelle Fassung.</w:t>
      </w:r>
    </w:p>
    <w:p>
      <w:r>
        <w:t xml:space="preserve">(1) Der Ausschuss ist beschlussfähig, wenn die Mehrheit der Mitglieder anwesend ist. Als anwesend gelten auch diejenigen Mitglieder, die im Fall der Einberufung gemäß § 60 Absatz 4 über elektronische Kommunikationsmittel an der Sitzung teilnehmen.</w:t>
      </w:r>
    </w:p>
    <w:p>
      <w:r>
        <w:t xml:space="preserve">(2) Der Ausschuss gilt so lange als beschlussfähig, wie nicht vor einer Abstimmung ein Mitglied verlangt, die Beschlussfähigkeit durch Auszählen festzustellen. Der Vorsitzende kann die Abstimmung, vor der die Feststellung der Beschlussfähigkeit verlangt wurde, auf bestimmte Zeit verschieben und, wenn kein Widerspruch erfolgt, die Aussprache fortsetzen oder einen anderen Tagesordnungspunkt aufrufen. Ist nach Feststellung der Beschlussunfähigkeit die Sitzung auf bestimmte Zeit unterbrochen worden und nach Wiedereröffnung die Beschlussfähigkeit noch nicht gegeben, gilt Satz 2.</w:t>
      </w:r>
    </w:p>
    <w:p>
      <w:r>
        <w:t xml:space="preserve">(3) Für Abstimmungen können in Abweichung von § 48 Absatz 1 Satz 1 im Fall der Einberufung gemäß § 60 Absatz 4 auch elektronische Kommunikationsmittel genutzt werden.</w:t>
      </w:r>
    </w:p>
    <w:p>
      <w:r>
        <w:rPr>
          <w:color w:val="555555"/>
          <w:sz w:val="17"/>
        </w:rPr>
        <w:t xml:space="preserve">Zitiervorschlag: § 67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