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65 BTGO 1980 — Berichterstatterbenennung</w:t>
      </w:r>
    </w:p>
    <w:p>
      <w:r>
        <w:rPr>
          <w:color w:val="555555"/>
          <w:sz w:val="18"/>
        </w:rPr>
        <w:t xml:space="preserve">Geschäftsordnung des Deutschen Bundestages</w:t>
      </w:r>
    </w:p>
    <w:p>
      <w:r>
        <w:rPr>
          <w:color w:val="555555"/>
          <w:sz w:val="18"/>
        </w:rPr>
        <w:t xml:space="preserve">Historische Fassung: Stand 10.06.2019 bis 01.11.2025. Dies ist nicht die aktuelle Fassung.</w:t>
      </w:r>
    </w:p>
    <w:p>
      <w:r>
        <w:t xml:space="preserve">Vorbehaltlich der Entscheidung des Ausschusses benennt der Vorsitzende einen oder mehrere Berichterstatter für jeden Verhandlungsgegenstand.</w:t>
      </w:r>
    </w:p>
    <w:p>
      <w:r>
        <w:rPr>
          <w:color w:val="555555"/>
          <w:sz w:val="17"/>
        </w:rPr>
        <w:t xml:space="preserve">Zitiervorschlag: § 65 BTGO 1980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https://recht.nulegal.eu/gesetze/BTGO%201980/65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65 BTGO 1980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