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BTGO 1980 — Ältestenrat</w:t>
      </w:r>
    </w:p>
    <w:p>
      <w:r>
        <w:rPr>
          <w:color w:val="555555"/>
          <w:sz w:val="18"/>
        </w:rPr>
        <w:t xml:space="preserve">Geschäftsordnung des Deutschen Bundestages</w:t>
      </w:r>
    </w:p>
    <w:p>
      <w:r>
        <w:rPr>
          <w:color w:val="555555"/>
          <w:sz w:val="18"/>
        </w:rPr>
        <w:t xml:space="preserve">Historische Fassung: Stand 10.06.2019 bis 01.11.2025. Dies ist nicht die aktuelle Fassung.</w:t>
      </w:r>
    </w:p>
    <w:p>
      <w:r>
        <w:t xml:space="preserve">(1) Der Ältestenrat besteht aus dem Präsidenten, seinen Stellvertretern und dreiundzwanzig weiteren von den Fraktionen gemäß § 12 zu benennenden Mitgliedern. Die Einberufung obliegt dem Präsidenten. Er muß ihn einberufen, wenn eine Fraktion oder fünf vom Hundert der Mitglieder des Bundestages es verlangen.</w:t>
      </w:r>
    </w:p>
    <w:p>
      <w:r>
        <w:t xml:space="preserve">(2) Der Ältestenrat unterstützt den Präsidenten bei der Führung der Geschäfte. Er führt eine Verständigung zwischen den Fraktionen über die Besetzung der Stellen der Ausschußvorsitzenden und ihrer Stellvertreter sowie über den Arbeitsplan des Bundestages herbei. Bei der Wahrnehmung dieser Aufgaben ist der Ältestenrat kein Beschlußorgan.</w:t>
      </w:r>
    </w:p>
    <w:p>
      <w:r>
        <w:t xml:space="preserve">(3) Der Ältestenrat beschließt über die inneren Angelegenheiten des Bundestages, soweit sie nicht dem Präsidenten oder dem Präsidium vorbehalten sind. Er verfügt über die Verwendung der dem Bundestag vorbehaltenen Räume. Er stellt den Voranschlag für den Haushaltseinzelplan des Bundestages auf, von dem der Haushaltsausschuß nur im Benehmen mit dem Ältestenrat abweichen kann.</w:t>
      </w:r>
    </w:p>
    <w:p>
      <w:r>
        <w:t xml:space="preserve">(4) Für die Angelegenheiten der Bibliothek, des Archivs und anderer Dokumentationen setzt der Ältestenrat einen ständigen Unterausschuß ein, dem auch Mitglieder des Bundestages, die nicht Mitglied des Ältestenrates sind, angehören können.</w:t>
      </w:r>
    </w:p>
    <w:p>
      <w:r>
        <w:rPr>
          <w:color w:val="555555"/>
          <w:sz w:val="17"/>
        </w:rPr>
        <w:t xml:space="preserve">Zitiervorschlag: § 6 BTGO 1980</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https://recht.nulegal.eu/gesetze/BTGO%201980/6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