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BTGO 1980 — Rechte und Pflichten des Vorsitzenden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Dem Vorsitzenden obliegt die Vorbereitung, Einberufung und Leitung der Ausschußsitzungen sowie die Durchführung der Ausschußbeschlüsse.</w:t>
      </w:r>
    </w:p>
    <w:p>
      <w:r>
        <w:t xml:space="preserve">(2) Der Vorsitzende erteilt das Wort in der Reihenfolge der Wortmeldungen unter Berücksichtigung des Grundsatzes des § 28 Abs. 1 Satz 2.</w:t>
      </w:r>
    </w:p>
    <w:p>
      <w:r>
        <w:t xml:space="preserve">(3) Sitzungsteilnehmer, die nicht Mitglieder des Bundestages sind, und Zuhörer unterstehen während der Sitzung der Ordnungsgewalt des Vorsitzenden.</w:t>
      </w:r>
    </w:p>
    <w:p>
      <w:r>
        <w:t xml:space="preserve">(4) Ist der ordnungsgemäße Ablauf einer Sitzung nicht mehr gewährleistet, kann der Vorsitzende die Sitzung unterbrechen oder im Einvernehmen mit den Fraktionen im Ausschuß beenden.</w:t>
      </w:r>
    </w:p>
    <w:p>
      <w:r>
        <w:rPr>
          <w:color w:val="555555"/>
          <w:sz w:val="17"/>
        </w:rPr>
        <w:t xml:space="preserve">Zitiervorschlag: § 59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