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55 BTGO 1980 — Einsetzung von Unterausschüssen</w:t>
      </w:r>
    </w:p>
    <w:p>
      <w:r>
        <w:rPr>
          <w:color w:val="555555"/>
          <w:sz w:val="18"/>
        </w:rPr>
        <w:t xml:space="preserve">Geschäftsordnung des Deutschen Bundestages</w:t>
      </w:r>
    </w:p>
    <w:p>
      <w:r>
        <w:rPr>
          <w:color w:val="555555"/>
          <w:sz w:val="18"/>
        </w:rPr>
        <w:t xml:space="preserve">Historische Fassung: Stand 10.06.2019 bis 01.11.2025. Dies ist nicht die aktuelle Fassung.</w:t>
      </w:r>
    </w:p>
    <w:p>
      <w:r>
        <w:t xml:space="preserve">(1) Zur Vorbereitung seiner Arbeiten kann jeder Ausschuß aus seiner Mitte Unterausschüsse mit bestimmten Aufträgen einsetzen, es sei denn, daß ein Drittel seiner Mitglieder widerspricht. In Ausnahmefällen können die Fraktionen auch Mitglieder des Bundestages benennen, die nicht dem Ausschuß angehören.</w:t>
      </w:r>
    </w:p>
    <w:p>
      <w:r>
        <w:t xml:space="preserve">(2) Bei der Bestimmung des Vorsitzenden des Unterausschusses soll der Ausschuß sich nach dem Stärkeverhältnis der einzelnen Fraktionen richten (§ 12). Wird der Unterausschuß für eine bestimmte Dauer eingesetzt, kann er vorzeitig nur aufgelöst werden, wenn ein Drittel der Mitglieder des Ausschusses nicht widerspricht; im übrigen kann der Ausschuß den Unterausschuß jederzeit auflösen. Der Unterausschuß hat seinen Bericht dem Ausschuß vorzulegen.</w:t>
      </w:r>
    </w:p>
    <w:p>
      <w:r>
        <w:t xml:space="preserve">(3) In einem Unterausschuß muß jede Fraktion, die im Ausschuß vertreten ist, auf ihr Verlangen mindestens mit einem Mitglied vertreten sein. Im übrigen sind die Grundsätze des § 12 zu berücksichtigen.</w:t>
      </w:r>
    </w:p>
    <w:p>
      <w:r>
        <w:t xml:space="preserve">(4) Ist eine Vorlage mehreren Ausschüssen zur Beratung überwiesen worden oder fällt ein Verhandlungsgegenstand in den Geschäftsbereich mehrerer Ausschüsse, können diese einen gemeinsamen Unterausschuß bilden.</w:t>
      </w:r>
    </w:p>
    <w:p>
      <w:r>
        <w:rPr>
          <w:color w:val="555555"/>
          <w:sz w:val="17"/>
        </w:rPr>
        <w:t xml:space="preserve">Zitiervorschlag: § 55 BTGO 1980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https://recht.nulegal.eu/gesetze/BTGO%201980/55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55 BTGO 1980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