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BTGO 1980 — Unzulässigkeit der namentlichen Abstimmung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Namentliche Abstimmung ist unzulässig über</w:t>
      </w:r>
    </w:p>
    <w:p>
      <w:pPr>
        <w:ind w:left="420"/>
      </w:pPr>
      <w:r>
        <w:t xml:space="preserve">a) Stärke des Ausschusses,</w:t>
      </w:r>
    </w:p>
    <w:p>
      <w:pPr>
        <w:ind w:left="420"/>
      </w:pPr>
      <w:r>
        <w:t xml:space="preserve">b) Abkürzung der Fristen,</w:t>
      </w:r>
    </w:p>
    <w:p>
      <w:pPr>
        <w:ind w:left="420"/>
      </w:pPr>
      <w:r>
        <w:t xml:space="preserve">c) Sitzungszeit und Tagesordnung,</w:t>
      </w:r>
    </w:p>
    <w:p>
      <w:pPr>
        <w:ind w:left="420"/>
      </w:pPr>
      <w:r>
        <w:t xml:space="preserve">d) Vertagung der Sitzung,</w:t>
      </w:r>
    </w:p>
    <w:p>
      <w:pPr>
        <w:ind w:left="420"/>
      </w:pPr>
      <w:r>
        <w:t xml:space="preserve">e) Vertagung der Beratung oder Schluß der Aussprache,</w:t>
      </w:r>
    </w:p>
    <w:p>
      <w:pPr>
        <w:ind w:left="420"/>
      </w:pPr>
      <w:r>
        <w:t xml:space="preserve">f) Teilung der Frage,</w:t>
      </w:r>
    </w:p>
    <w:p>
      <w:pPr>
        <w:ind w:left="420"/>
      </w:pPr>
      <w:r>
        <w:t xml:space="preserve">g) Überweisung an einen Ausschuß.</w:t>
      </w:r>
    </w:p>
    <w:p>
      <w:r>
        <w:rPr>
          <w:color w:val="555555"/>
          <w:sz w:val="17"/>
        </w:rPr>
        <w:t xml:space="preserve">Zitiervorschlag: § 53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